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 w:firstLineChars="200"/>
        <w:jc w:val="center"/>
        <w:rPr>
          <w:rFonts w:hint="default" w:ascii="宋体" w:hAnsi="宋体"/>
          <w:b/>
          <w:bCs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</w:rPr>
        <w:t>“智能+”为城市构建超强“大脑”，助力新型智慧城市建设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2022年10月15日晚，重庆大学研究生创新实践基地第143期专题培训——“构建‘城市大脑’，打造新型智慧城市”线上讲座在腾讯会议上顺利举办，参会近百人次，整场活动持续近2个小时。</w:t>
      </w:r>
      <w:bookmarkStart w:id="0" w:name="_GoBack"/>
      <w:bookmarkEnd w:id="0"/>
      <w:r>
        <w:rPr>
          <w:rFonts w:ascii="宋体" w:hAnsi="宋体"/>
          <w:sz w:val="24"/>
          <w:szCs w:val="24"/>
        </w:rPr>
        <w:t>本期专题培训的主讲人是重庆大学计算机学院的冯永教授，冯老师从新型智慧城市现状与场景、数据驱动的智慧化内涵、新一代人工智能典型事件、“城市大脑”支撑技术、新型智慧城市案例几个方面展开了详细的阐述。</w:t>
      </w:r>
    </w:p>
    <w:p>
      <w:pPr>
        <w:spacing w:line="360" w:lineRule="auto"/>
        <w:ind w:firstLine="420" w:firstLineChars="200"/>
        <w:jc w:val="center"/>
        <w:rPr>
          <w:rFonts w:ascii="宋体" w:hAnsi="宋体"/>
          <w:sz w:val="24"/>
          <w:szCs w:val="24"/>
        </w:rPr>
      </w:pPr>
      <w:r>
        <w:rPr>
          <w:rFonts w:hint="default"/>
        </w:rPr>
        <w:drawing>
          <wp:inline distT="0" distB="0" distL="114300" distR="114300">
            <wp:extent cx="4325620" cy="1974850"/>
            <wp:effectExtent l="0" t="0" r="8255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Rot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新型智慧城市现状与场景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相关背景知识简介</w:t>
      </w:r>
    </w:p>
    <w:p>
      <w:pPr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1）信息化、数字化与数字化转型的区别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信息化就算业务在物理世界里开展，为物理世界活动服务，信息系统提供支撑，例如出租车管理系统为出租车运营服务。数字化就是业务在数字世界里开展，物理世界的物为数字世界服务，例如网约车司机都是依照数字世界的活动来提供服务的。数字化转型应该通过业务转型来实现，必须认识到数字化转型的价值，以推动自身转型。</w:t>
      </w:r>
    </w:p>
    <w:p>
      <w:pPr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2)相关部门与新型智慧城市关系</w:t>
      </w:r>
    </w:p>
    <w:p>
      <w:pPr>
        <w:keepNext/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2887345" cy="1144270"/>
            <wp:effectExtent l="0" t="0" r="8255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4463" t="20100" r="9563" b="19016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1950085" cy="1363345"/>
            <wp:effectExtent l="0" t="0" r="2540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4238" t="12469" r="6610" b="6235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ind w:left="480"/>
        <w:rPr>
          <w:rFonts w:ascii="宋体" w:hAnsi="宋体"/>
          <w:sz w:val="22"/>
        </w:rPr>
      </w:pPr>
      <w:r>
        <w:rPr>
          <w:rFonts w:ascii="宋体" w:hAnsi="宋体"/>
          <w:sz w:val="18"/>
          <w:szCs w:val="18"/>
        </w:rPr>
        <w:t>电子政务、数字政府与智慧城市的关系图           智慧城市运营商与政府部门和企业的关系图</w:t>
      </w:r>
    </w:p>
    <w:p>
      <w:pPr>
        <w:tabs>
          <w:tab w:val="left" w:pos="312"/>
        </w:tabs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3)新型智慧城市构架和十大核心要素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顶层设计为全局谋划奠定智慧发展基础，体制机制优化激发多主体合作活力，智能设施是奠定智慧城市发展的基石，智能中枢形成数据枢纽与赋能中心，智慧生活构建更加智能贴心的智慧服务，智慧生产可以因地制宜发展高质量数字经济，技术赋能支撑智能精准治理，智慧生态立体监管筑牢城市“绿水青山”防线，技术创新与标准体系持续突破赋予多维“进化”空间，供需两侧强化网络完全保护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2583180" cy="1904365"/>
            <wp:effectExtent l="0" t="0" r="7620" b="6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6296" t="10959" r="20926" b="342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2500" cy="1965325"/>
            <wp:effectExtent l="0" t="0" r="6350" b="635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22327" t="12373" r="4128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新型智慧城市现状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阿姆斯特丹—让每个市民都能共享超级数据库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阿姆斯特丹建设的超级数据库，整合了32个城市区域超过12万个数据集，囊括了地址、低价、医疗卫生、交通和教育等各方面数据，并在2012年完成数据库的开源，让每个市民与创新者都能共享数据库。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迪拜—2030年机器警察可能占巡逻力量的25%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迪拜智慧城市计划诞生于2013年，会派机器警察7×24小时在街上巡逻以打击犯罪，若试验项目成功，到2030年机器警察将占到迪拜警局巡逻力量的四分之一。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新加坡—数字政府先锋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2020年，政府上线新加坡企业和居民国家数字身份（NDI）系统，该系统将促进私营部门与政府之间进行安全有效的数字通信。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新型智慧城市场景</w:t>
      </w:r>
    </w:p>
    <w:p>
      <w:pPr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1）经济云图                      2）人口地理空间密度</w:t>
      </w:r>
    </w:p>
    <w:p>
      <w:pPr>
        <w:tabs>
          <w:tab w:val="left" w:pos="312"/>
        </w:tabs>
        <w:spacing w:line="360" w:lineRule="auto"/>
        <w:ind w:left="480"/>
      </w:pPr>
      <w:r>
        <w:drawing>
          <wp:inline distT="0" distB="0" distL="114300" distR="114300">
            <wp:extent cx="2527300" cy="1243330"/>
            <wp:effectExtent l="0" t="0" r="6350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14317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5855" cy="1256030"/>
            <wp:effectExtent l="0" t="0" r="4445" b="127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l="2118" t="13057" r="2599" b="4140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3）人口结构空间地理分布           4）城市生命线管理</w:t>
      </w:r>
    </w:p>
    <w:p>
      <w:pPr>
        <w:spacing w:line="360" w:lineRule="auto"/>
        <w:ind w:left="420" w:leftChars="200"/>
      </w:pPr>
      <w:r>
        <w:drawing>
          <wp:inline distT="0" distB="0" distL="114300" distR="114300">
            <wp:extent cx="2468245" cy="1416050"/>
            <wp:effectExtent l="0" t="0" r="8255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13283" r="7774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3480" cy="1385570"/>
            <wp:effectExtent l="0" t="0" r="4445" b="508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2474" r="4710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5）应急管理与重大事件推演          6）环境监测</w:t>
      </w:r>
    </w:p>
    <w:p>
      <w:pPr>
        <w:spacing w:line="360" w:lineRule="auto"/>
        <w:ind w:left="420" w:leftChars="200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2560320" cy="1369060"/>
            <wp:effectExtent l="0" t="0" r="1905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6923" t="14153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8560" cy="1257300"/>
            <wp:effectExtent l="0" t="0" r="889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9377" t="17017" r="3250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数据驱动的智慧化内涵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大数据由体量大、速度快、种类多、价值大密度低的“4V”特征发展到还具备准确性、动态性、可视化、合法化的“8V”特征，在大数据背景下，让许多看似不相干的现象之间发生一定的关联，揭示事物的相关关系，使人们能简洁清晰认知事物和把握局势。同时在大数据技术的支撑下，可以实现信息对等解放精力，机器拥有人的智慧。</w:t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新一代人工智能典型事件</w:t>
      </w:r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波士顿动力的Spot和SpotMini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等线" w:hAnsi="等线" w:cs="Times New Roman"/>
          <w:lang w:bidi="ar"/>
        </w:rPr>
        <w:t xml:space="preserve">       </w:t>
      </w:r>
      <w:r>
        <w:rPr>
          <w:rFonts w:ascii="等线" w:hAnsi="等线" w:cs="Times New Roman"/>
          <w:lang w:bidi="ar"/>
        </w:rPr>
        <w:drawing>
          <wp:inline distT="0" distB="0" distL="114300" distR="114300">
            <wp:extent cx="1299845" cy="737235"/>
            <wp:effectExtent l="0" t="0" r="5080" b="57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7838" t="14790" r="51611" b="45650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cs="Times New Roman"/>
          <w:lang w:bidi="ar"/>
        </w:rPr>
        <w:t xml:space="preserve"> </w:t>
      </w:r>
      <w:r>
        <w:rPr>
          <w:rFonts w:ascii="等线" w:hAnsi="等线" w:cs="Times New Roman"/>
          <w:lang w:bidi="ar"/>
        </w:rPr>
        <w:drawing>
          <wp:inline distT="0" distB="0" distL="114300" distR="114300">
            <wp:extent cx="1066800" cy="697230"/>
            <wp:effectExtent l="0" t="0" r="0" b="762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62798" t="13963" r="2065" b="4654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cs="Times New Roman"/>
          <w:lang w:bidi="ar"/>
        </w:rPr>
        <w:t xml:space="preserve"> </w:t>
      </w:r>
      <w:r>
        <w:rPr>
          <w:rFonts w:ascii="等线" w:hAnsi="等线" w:cs="Times New Roman"/>
          <w:lang w:bidi="ar"/>
        </w:rPr>
        <w:drawing>
          <wp:inline distT="0" distB="0" distL="114300" distR="114300">
            <wp:extent cx="787400" cy="697865"/>
            <wp:effectExtent l="0" t="0" r="3175" b="6985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 l="67964" t="56441" r="6100" b="403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cs="Times New Roman"/>
          <w:lang w:bidi="ar"/>
        </w:rPr>
        <w:t xml:space="preserve"> </w:t>
      </w:r>
      <w:r>
        <w:rPr>
          <w:rFonts w:ascii="等线" w:hAnsi="等线" w:cs="Times New Roman"/>
          <w:lang w:bidi="ar"/>
        </w:rPr>
        <w:drawing>
          <wp:inline distT="0" distB="0" distL="114300" distR="114300">
            <wp:extent cx="937260" cy="697865"/>
            <wp:effectExtent l="0" t="0" r="5715" b="698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l="15404" t="56441" r="53725" b="403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波士顿动力Atlas2013-2016、2017、2018</w:t>
      </w:r>
    </w:p>
    <w:p>
      <w:pPr>
        <w:spacing w:line="360" w:lineRule="auto"/>
        <w:jc w:val="center"/>
        <w:rPr>
          <w:rFonts w:ascii="等线" w:hAnsi="等线" w:cs="Times New Roman"/>
          <w:lang w:bidi="ar"/>
        </w:rPr>
      </w:pPr>
      <w:r>
        <w:rPr>
          <w:rFonts w:ascii="等线" w:hAnsi="等线" w:cs="Times New Roman"/>
          <w:lang w:bidi="ar"/>
        </w:rPr>
        <w:drawing>
          <wp:inline distT="0" distB="0" distL="114300" distR="114300">
            <wp:extent cx="3028950" cy="788035"/>
            <wp:effectExtent l="0" t="0" r="0" b="254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 l="17072" t="15044" b="5083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等线" w:hAnsi="等线" w:cs="Times New Roman"/>
          <w:lang w:bidi="ar"/>
        </w:rPr>
      </w:pPr>
      <w:r>
        <w:rPr>
          <w:rFonts w:ascii="等线" w:hAnsi="等线" w:cs="Times New Roman"/>
          <w:lang w:bidi="ar"/>
        </w:rPr>
        <w:drawing>
          <wp:inline distT="0" distB="0" distL="114300" distR="114300">
            <wp:extent cx="3019425" cy="843280"/>
            <wp:effectExtent l="0" t="0" r="0" b="444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l="8861" t="11964" r="5524" b="4683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等线" w:hAnsi="等线" w:cs="Times New Roman"/>
          <w:lang w:bidi="ar"/>
        </w:rPr>
      </w:pPr>
      <w:r>
        <w:rPr>
          <w:rFonts w:ascii="等线" w:hAnsi="等线" w:cs="Times New Roman"/>
          <w:lang w:bidi="ar"/>
        </w:rPr>
        <w:drawing>
          <wp:inline distT="0" distB="0" distL="114300" distR="114300">
            <wp:extent cx="3058795" cy="732155"/>
            <wp:effectExtent l="0" t="0" r="8255" b="127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rcRect l="8221" t="59824" r="5620" b="5711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马斯克“擎天柱”机器人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等线" w:hAnsi="等线" w:cs="Times New Roman"/>
          <w:lang w:bidi="ar"/>
        </w:rPr>
        <w:drawing>
          <wp:inline distT="0" distB="0" distL="114300" distR="114300">
            <wp:extent cx="3081655" cy="1354455"/>
            <wp:effectExtent l="0" t="0" r="4445" b="762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rcRect l="3958" t="13081" r="2075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微软小冰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等线" w:hAnsi="等线" w:cs="Times New Roman"/>
          <w:lang w:bidi="ar"/>
        </w:rPr>
        <w:drawing>
          <wp:inline distT="0" distB="0" distL="114300" distR="114300">
            <wp:extent cx="3122930" cy="1604645"/>
            <wp:effectExtent l="0" t="0" r="1270" b="508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l="3191" t="14908" r="4445" b="3082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“城市大脑”支撑技术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“城市大脑”的支撑技术以大数据技术和新一代人工智能技术为主。可利用各种大数据分析工具，比如Hadoop、SPSS和R，可以从各种类型的数据中快速获得高价值的信息，这一点和传统的数据分析有着本质的区别。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877185" cy="1743075"/>
            <wp:effectExtent l="0" t="0" r="8890" b="0"/>
            <wp:docPr id="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r="1184" b="1666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此外，冯永教授还分享了一些其他的大数据技术——①协同过滤，通过收集大量用户（协同）的喜好信息，以自动预测（过滤）用户感兴趣的商品；②基于ALS的矩阵分解算法，对稀疏矩阵进行模型分解，评估出缺失项的值，得到一个基本训练模型，再依照此模型可以针对新的用户和物品数据进行评估；③基于物品的协同过滤算法，UserCF思想是根据用户行为数据，找到与目标用户有相似兴趣的其他用户，给用户推荐其他用户喜欢的物品，ItemCF思想是根据用户行为数据，计算物品间的相似度，基于用户以往的喜好记录，推荐给用户相似的物品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同时，冯永教授也提到大数据思维，即大数据成为核心资产、大数据融合价值更大、大数据需聚焦应用、大数据侧重相关性分析、大数据促进智慧型应用以及不存在统一的大数据解决方案。</w:t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新型智慧城市案例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1.智慧缙云——重庆大学团队负责大数据整合</w:t>
      </w:r>
    </w:p>
    <w:p>
      <w:pPr>
        <w:spacing w:line="360" w:lineRule="auto"/>
        <w:ind w:firstLine="420" w:firstLineChars="200"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3771265" cy="1654810"/>
            <wp:effectExtent l="0" t="0" r="635" b="254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rcRect t="13528" r="2029" b="1837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2.智慧国土监管——遥感影像目标识别与地理信息人工智能分析</w:t>
      </w:r>
    </w:p>
    <w:p>
      <w:pPr>
        <w:spacing w:line="360" w:lineRule="auto"/>
        <w:ind w:firstLine="420" w:firstLineChars="200"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3884295" cy="1540510"/>
            <wp:effectExtent l="0" t="0" r="1905" b="2540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rcRect t="15718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3.智慧矿山——矿业活动图斑自动提取软件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项目来源于重庆地质矿产研究院，重庆大学团队负责科技攻关。以国土资源遥感监测项目中使用率最高、分辨率最高的高分二号卫星影像为基础数据，研究解决薄云干扰、图像融合、露天采矿图斑提取等问题的关键技术及其应用，建立识别露天采矿疑似违法图斑模型，从而快速、低成本、有效地对国土资源、露天采矿安全生产进行监控。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如对本次“专题培训”讲座内容有相关疑惑可加入QQ群（群号：1016621906）进行讨论，研究生创新实践基地将竭力为同学们提供更优质的培训服务。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此次线上活动回放链接分享：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链接：https://pan.baidu.com/s/19gES8EdzuuQu2GBgrig8jg?pwd=nwps 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提取码：nwps </w:t>
      </w:r>
    </w:p>
    <w:p>
      <w:pPr>
        <w:spacing w:line="360" w:lineRule="auto"/>
        <w:ind w:firstLine="480" w:firstLineChars="20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1570990" cy="1570990"/>
            <wp:effectExtent l="0" t="0" r="635" b="635"/>
            <wp:docPr id="14" name="图片 24" descr="49D1B26FC5B564F8BE025770F20FE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49D1B26FC5B564F8BE025770F20FE94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spacing w:line="276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主    办：重庆大学研究生院</w:t>
      </w:r>
    </w:p>
    <w:p>
      <w:pPr>
        <w:autoSpaceDN w:val="0"/>
        <w:spacing w:line="276" w:lineRule="auto"/>
        <w:ind w:firstLine="1680" w:firstLineChars="7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重庆大学科学技术协会</w:t>
      </w:r>
    </w:p>
    <w:p>
      <w:pPr>
        <w:autoSpaceDN w:val="0"/>
        <w:spacing w:line="276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承    办：重庆大学研究生创新实践基地</w:t>
      </w:r>
    </w:p>
    <w:p>
      <w:pPr>
        <w:autoSpaceDN w:val="0"/>
        <w:spacing w:line="276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      重庆大学研究生科学技术协会</w:t>
      </w:r>
    </w:p>
    <w:p>
      <w:pPr>
        <w:autoSpaceDN w:val="0"/>
        <w:spacing w:line="276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欢迎关注“重庆大学研究生创新实践基地”</w:t>
      </w:r>
    </w:p>
    <w:p>
      <w:pPr>
        <w:autoSpaceDN w:val="0"/>
        <w:spacing w:line="276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2771775" cy="1228725"/>
            <wp:effectExtent l="0" t="0" r="0" b="0"/>
            <wp:docPr id="8" name="图片 2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logo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ind w:firstLine="420"/>
        <w:jc w:val="righ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重庆大学研究生创新实践基地</w:t>
      </w:r>
    </w:p>
    <w:p>
      <w:pPr>
        <w:autoSpaceDN w:val="0"/>
        <w:ind w:firstLine="420"/>
        <w:jc w:val="righ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重庆大学研究生科学技术协会</w:t>
      </w:r>
    </w:p>
    <w:p>
      <w:pPr>
        <w:jc w:val="right"/>
      </w:pPr>
      <w:r>
        <w:rPr>
          <w:rFonts w:ascii="宋体" w:hAnsi="宋体"/>
          <w:sz w:val="24"/>
          <w:szCs w:val="24"/>
        </w:rPr>
        <w:t>2022年10月2</w:t>
      </w:r>
      <w:r>
        <w:rPr>
          <w:rFonts w:hint="eastAsia" w:ascii="宋体" w:hAnsi="宋体"/>
          <w:sz w:val="24"/>
          <w:szCs w:val="24"/>
          <w:lang w:val="en-US" w:eastAsia="zh-CN"/>
        </w:rPr>
        <w:t>6</w:t>
      </w:r>
      <w:r>
        <w:rPr>
          <w:rFonts w:ascii="宋体" w:hAnsi="宋体"/>
          <w:sz w:val="24"/>
          <w:szCs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E410A1"/>
    <w:multiLevelType w:val="singleLevel"/>
    <w:tmpl w:val="D0E410A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AC0385A"/>
    <w:multiLevelType w:val="multilevel"/>
    <w:tmpl w:val="2AC0385A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2B035E3B"/>
    <w:multiLevelType w:val="singleLevel"/>
    <w:tmpl w:val="2B035E3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554AC2F"/>
    <w:multiLevelType w:val="singleLevel"/>
    <w:tmpl w:val="6554AC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Y2FmZWQzOTZhYzIxMjJlYmJhM2NmNzMwYmM1MGIifQ=="/>
  </w:docVars>
  <w:rsids>
    <w:rsidRoot w:val="7EB9409E"/>
    <w:rsid w:val="7EB9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Calibr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2022-10-26T04:04:00Z</dcterms:created>
  <dc:creator>李洁媚</dc:creator>
  <cp:lastModifiedBy>李洁媚</cp:lastModifiedBy>
  <dcterms:modified xsi:type="dcterms:W3CDTF">2022-10-26T04:05:46Z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5FC44BCA351B421999EDD0A0A9540927</vt:lpwstr>
  </property>
</Properties>
</file>