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804"/>
        <w:gridCol w:w="1692"/>
        <w:gridCol w:w="4366"/>
        <w:gridCol w:w="857"/>
      </w:tblGrid>
      <w:tr w:rsidR="0005417C" w:rsidRPr="00DB1D61" w:rsidTr="00D16C6F">
        <w:trPr>
          <w:jc w:val="center"/>
        </w:trPr>
        <w:tc>
          <w:tcPr>
            <w:tcW w:w="8296" w:type="dxa"/>
            <w:gridSpan w:val="5"/>
            <w:shd w:val="clear" w:color="auto" w:fill="auto"/>
            <w:vAlign w:val="center"/>
          </w:tcPr>
          <w:p w:rsidR="0005417C" w:rsidRPr="0005417C" w:rsidRDefault="0005417C" w:rsidP="00134395">
            <w:pPr>
              <w:jc w:val="center"/>
              <w:rPr>
                <w:rFonts w:hint="eastAsia"/>
                <w:b/>
                <w:sz w:val="28"/>
                <w:szCs w:val="28"/>
              </w:rPr>
            </w:pPr>
            <w:bookmarkStart w:id="0" w:name="_GoBack"/>
            <w:r w:rsidRPr="0005417C">
              <w:rPr>
                <w:rFonts w:hint="eastAsia"/>
                <w:b/>
                <w:sz w:val="28"/>
                <w:szCs w:val="28"/>
              </w:rPr>
              <w:t>2015-2016</w:t>
            </w:r>
            <w:r w:rsidRPr="0005417C">
              <w:rPr>
                <w:rFonts w:hint="eastAsia"/>
                <w:b/>
                <w:sz w:val="28"/>
                <w:szCs w:val="28"/>
              </w:rPr>
              <w:t>学年教育部研究生创新计划第一批资助公示名单</w:t>
            </w:r>
            <w:bookmarkEnd w:id="0"/>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编号</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姓名</w:t>
            </w:r>
          </w:p>
        </w:tc>
        <w:tc>
          <w:tcPr>
            <w:tcW w:w="1692"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学院</w:t>
            </w:r>
          </w:p>
        </w:tc>
        <w:tc>
          <w:tcPr>
            <w:tcW w:w="4366" w:type="dxa"/>
            <w:shd w:val="clear" w:color="auto" w:fill="auto"/>
            <w:vAlign w:val="center"/>
          </w:tcPr>
          <w:p w:rsidR="0005417C" w:rsidRPr="00DB1D61" w:rsidRDefault="0005417C" w:rsidP="00134395">
            <w:pPr>
              <w:ind w:firstLineChars="100" w:firstLine="180"/>
              <w:jc w:val="center"/>
              <w:rPr>
                <w:rFonts w:hint="eastAsia"/>
                <w:sz w:val="18"/>
                <w:szCs w:val="18"/>
              </w:rPr>
            </w:pPr>
            <w:r w:rsidRPr="00DB1D61">
              <w:rPr>
                <w:rFonts w:hint="eastAsia"/>
                <w:sz w:val="18"/>
                <w:szCs w:val="18"/>
              </w:rPr>
              <w:t>参与</w:t>
            </w:r>
            <w:r w:rsidRPr="00DB1D61">
              <w:rPr>
                <w:sz w:val="18"/>
                <w:szCs w:val="18"/>
              </w:rPr>
              <w:t>类型</w:t>
            </w:r>
          </w:p>
        </w:tc>
        <w:tc>
          <w:tcPr>
            <w:tcW w:w="857" w:type="dxa"/>
            <w:shd w:val="clear" w:color="auto" w:fill="auto"/>
            <w:vAlign w:val="center"/>
          </w:tcPr>
          <w:p w:rsidR="0005417C" w:rsidRPr="00DB1D61" w:rsidRDefault="0005417C" w:rsidP="00134395">
            <w:pPr>
              <w:jc w:val="center"/>
              <w:rPr>
                <w:rFonts w:hint="eastAsia"/>
                <w:sz w:val="18"/>
                <w:szCs w:val="18"/>
              </w:rPr>
            </w:pPr>
            <w:r>
              <w:rPr>
                <w:rFonts w:hint="eastAsia"/>
                <w:sz w:val="18"/>
                <w:szCs w:val="18"/>
              </w:rPr>
              <w:t>资助</w:t>
            </w:r>
            <w:r w:rsidRPr="00DB1D61">
              <w:rPr>
                <w:sz w:val="18"/>
                <w:szCs w:val="18"/>
              </w:rPr>
              <w:t>金额</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w:t>
            </w:r>
          </w:p>
        </w:tc>
        <w:tc>
          <w:tcPr>
            <w:tcW w:w="804"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齐</w:t>
            </w:r>
            <w:proofErr w:type="gramStart"/>
            <w:r w:rsidRPr="00DB1D61">
              <w:rPr>
                <w:rFonts w:ascii="宋体" w:hAnsi="宋体" w:cs="宋体" w:hint="eastAsia"/>
                <w:kern w:val="0"/>
                <w:sz w:val="18"/>
                <w:szCs w:val="18"/>
              </w:rPr>
              <w:t>一</w:t>
            </w:r>
            <w:proofErr w:type="gramEnd"/>
            <w:r w:rsidRPr="00DB1D61">
              <w:rPr>
                <w:rFonts w:ascii="宋体" w:hAnsi="宋体" w:cs="宋体" w:hint="eastAsia"/>
                <w:kern w:val="0"/>
                <w:sz w:val="18"/>
                <w:szCs w:val="18"/>
              </w:rPr>
              <w:t>聪</w:t>
            </w:r>
          </w:p>
        </w:tc>
        <w:tc>
          <w:tcPr>
            <w:tcW w:w="1692"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建筑城</w:t>
            </w:r>
            <w:proofErr w:type="gramStart"/>
            <w:r w:rsidRPr="00DB1D61">
              <w:rPr>
                <w:rFonts w:ascii="宋体" w:hAnsi="宋体" w:cs="宋体" w:hint="eastAsia"/>
                <w:kern w:val="0"/>
                <w:sz w:val="18"/>
                <w:szCs w:val="18"/>
              </w:rPr>
              <w:t>规</w:t>
            </w:r>
            <w:proofErr w:type="gramEnd"/>
            <w:r w:rsidRPr="00DB1D61">
              <w:rPr>
                <w:rFonts w:ascii="宋体" w:hAnsi="宋体" w:cs="宋体" w:hint="eastAsia"/>
                <w:kern w:val="0"/>
                <w:sz w:val="18"/>
                <w:szCs w:val="18"/>
              </w:rPr>
              <w:t>学院</w:t>
            </w:r>
          </w:p>
        </w:tc>
        <w:tc>
          <w:tcPr>
            <w:tcW w:w="4366"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“作为社会资源的考古遗产：保护和利用”高校研究生文化遗产论坛</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2</w:t>
            </w:r>
          </w:p>
        </w:tc>
        <w:tc>
          <w:tcPr>
            <w:tcW w:w="804" w:type="dxa"/>
            <w:vMerge w:val="restart"/>
            <w:shd w:val="clear" w:color="auto" w:fill="auto"/>
            <w:vAlign w:val="center"/>
          </w:tcPr>
          <w:p w:rsidR="0005417C" w:rsidRPr="00DB1D61" w:rsidRDefault="0005417C" w:rsidP="00134395">
            <w:pPr>
              <w:jc w:val="center"/>
              <w:rPr>
                <w:sz w:val="18"/>
                <w:szCs w:val="18"/>
              </w:rPr>
            </w:pPr>
            <w:proofErr w:type="gramStart"/>
            <w:r w:rsidRPr="00DB1D61">
              <w:rPr>
                <w:rFonts w:ascii="宋体" w:hAnsi="宋体" w:cs="宋体" w:hint="eastAsia"/>
                <w:kern w:val="0"/>
                <w:sz w:val="18"/>
                <w:szCs w:val="18"/>
              </w:rPr>
              <w:t>郭</w:t>
            </w:r>
            <w:proofErr w:type="gramEnd"/>
            <w:r w:rsidRPr="00DB1D61">
              <w:rPr>
                <w:rFonts w:ascii="宋体" w:hAnsi="宋体" w:cs="宋体" w:hint="eastAsia"/>
                <w:kern w:val="0"/>
                <w:sz w:val="18"/>
                <w:szCs w:val="18"/>
              </w:rPr>
              <w:t>朝会</w:t>
            </w:r>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2013年“统计学”研究生暑期学校（现代统计学基础和发展II）</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华东师范大学 2014暑期学校–统计学的若干前沿问题</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3</w:t>
            </w:r>
          </w:p>
        </w:tc>
        <w:tc>
          <w:tcPr>
            <w:tcW w:w="804" w:type="dxa"/>
            <w:vMerge w:val="restart"/>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吕晶</w:t>
            </w:r>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2013</w:t>
            </w:r>
            <w:r w:rsidRPr="00DB1D61">
              <w:rPr>
                <w:rFonts w:hint="eastAsia"/>
                <w:sz w:val="18"/>
                <w:szCs w:val="18"/>
              </w:rPr>
              <w:t>年“统计学”研究生暑期学校（现代统计学基础和发展</w:t>
            </w:r>
            <w:r w:rsidRPr="00DB1D61">
              <w:rPr>
                <w:rFonts w:hint="eastAsia"/>
                <w:sz w:val="18"/>
                <w:szCs w:val="18"/>
              </w:rPr>
              <w:t>II</w:t>
            </w:r>
            <w:r w:rsidRPr="00DB1D61">
              <w:rPr>
                <w:rFonts w:hint="eastAsia"/>
                <w:sz w:val="18"/>
                <w:szCs w:val="18"/>
              </w:rPr>
              <w:t>）</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华东师范大学</w:t>
            </w:r>
            <w:r w:rsidRPr="00DB1D61">
              <w:rPr>
                <w:rFonts w:hint="eastAsia"/>
                <w:sz w:val="18"/>
                <w:szCs w:val="18"/>
              </w:rPr>
              <w:t xml:space="preserve"> 2014</w:t>
            </w:r>
            <w:r w:rsidRPr="00DB1D61">
              <w:rPr>
                <w:rFonts w:hint="eastAsia"/>
                <w:sz w:val="18"/>
                <w:szCs w:val="18"/>
              </w:rPr>
              <w:t>暑期学校–统计学的若干前沿问题</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杜肖</w:t>
            </w:r>
            <w:proofErr w:type="gramEnd"/>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新闻学院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第四届“新媒体与全球信息社会的公正传播”学术研究营</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崔亚敏</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生物工程学院</w:t>
            </w:r>
          </w:p>
        </w:tc>
        <w:tc>
          <w:tcPr>
            <w:tcW w:w="4366" w:type="dxa"/>
            <w:shd w:val="clear" w:color="auto" w:fill="auto"/>
            <w:vAlign w:val="center"/>
          </w:tcPr>
          <w:p w:rsidR="0005417C" w:rsidRPr="00DB1D61" w:rsidRDefault="0005417C" w:rsidP="00134395">
            <w:pPr>
              <w:tabs>
                <w:tab w:val="left" w:pos="840"/>
              </w:tabs>
              <w:jc w:val="center"/>
              <w:rPr>
                <w:sz w:val="18"/>
                <w:szCs w:val="18"/>
              </w:rPr>
            </w:pPr>
            <w:r w:rsidRPr="00DB1D61">
              <w:rPr>
                <w:rFonts w:hint="eastAsia"/>
                <w:sz w:val="18"/>
                <w:szCs w:val="18"/>
              </w:rPr>
              <w:t>2015</w:t>
            </w:r>
            <w:r w:rsidRPr="00DB1D61">
              <w:rPr>
                <w:rFonts w:hint="eastAsia"/>
                <w:sz w:val="18"/>
                <w:szCs w:val="18"/>
              </w:rPr>
              <w:t>年第十届全国研究生环境论坛</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6</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廖震</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7</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金鑫</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8</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盛洁</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9</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刘巧斌</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蒋楠梁</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11</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庚鲁思</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12</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徐伟</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13</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徐航</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14</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刘晓亚</w:t>
            </w:r>
            <w:proofErr w:type="gramEnd"/>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15</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王</w:t>
            </w:r>
            <w:proofErr w:type="gramStart"/>
            <w:r w:rsidRPr="00DB1D61">
              <w:rPr>
                <w:rFonts w:hint="eastAsia"/>
                <w:sz w:val="18"/>
                <w:szCs w:val="18"/>
              </w:rPr>
              <w:t>浩</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16</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郭李</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17</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石婷</w:t>
            </w:r>
          </w:p>
        </w:tc>
        <w:tc>
          <w:tcPr>
            <w:tcW w:w="1692"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18</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顾兆凯</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通信工程学院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年“电磁与成像”中美研究生暑期学校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19</w:t>
            </w:r>
          </w:p>
        </w:tc>
        <w:tc>
          <w:tcPr>
            <w:tcW w:w="804" w:type="dxa"/>
            <w:shd w:val="clear" w:color="auto" w:fill="auto"/>
            <w:vAlign w:val="center"/>
          </w:tcPr>
          <w:p w:rsidR="0005417C" w:rsidRPr="00DB1D61" w:rsidRDefault="0005417C" w:rsidP="00134395">
            <w:pPr>
              <w:tabs>
                <w:tab w:val="left" w:pos="75"/>
              </w:tabs>
              <w:jc w:val="center"/>
              <w:rPr>
                <w:sz w:val="18"/>
                <w:szCs w:val="18"/>
              </w:rPr>
            </w:pPr>
            <w:proofErr w:type="gramStart"/>
            <w:r w:rsidRPr="00DB1D61">
              <w:rPr>
                <w:rFonts w:hint="eastAsia"/>
                <w:sz w:val="18"/>
                <w:szCs w:val="18"/>
              </w:rPr>
              <w:t>石亚星</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光电工程学院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年自动测试与仪器技术全国研究生暑期学校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周昀</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新闻学院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第四届“新媒体与全球信息社会的公正传播”学术研究营</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2</w:t>
            </w:r>
            <w:r w:rsidRPr="00DB1D61">
              <w:rPr>
                <w:sz w:val="18"/>
                <w:szCs w:val="18"/>
              </w:rPr>
              <w:t>1</w:t>
            </w:r>
          </w:p>
        </w:tc>
        <w:tc>
          <w:tcPr>
            <w:tcW w:w="804"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王倩</w:t>
            </w:r>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新闻学院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第四届“新媒体与全球信息社会的公正传播”学术研究营</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重庆大学</w:t>
            </w:r>
            <w:r w:rsidRPr="00DB1D61">
              <w:rPr>
                <w:rFonts w:hint="eastAsia"/>
                <w:sz w:val="18"/>
                <w:szCs w:val="18"/>
              </w:rPr>
              <w:t>2015</w:t>
            </w:r>
            <w:r w:rsidRPr="00DB1D61">
              <w:rPr>
                <w:rFonts w:hint="eastAsia"/>
                <w:sz w:val="18"/>
                <w:szCs w:val="18"/>
              </w:rPr>
              <w:t>“网络与新媒体”讲习班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100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22</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李佩璇</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经济与工商管理学院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“物流与供应链—自贸区供应链管理”</w:t>
            </w:r>
            <w:r w:rsidRPr="00DB1D61">
              <w:rPr>
                <w:rFonts w:hint="eastAsia"/>
                <w:sz w:val="18"/>
                <w:szCs w:val="18"/>
              </w:rPr>
              <w:t>2015</w:t>
            </w:r>
            <w:r w:rsidRPr="00DB1D61">
              <w:rPr>
                <w:rFonts w:hint="eastAsia"/>
                <w:sz w:val="18"/>
                <w:szCs w:val="18"/>
              </w:rPr>
              <w:t>年上海市研究生暑期学校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23</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刘俊宜</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法学院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·全国社会科学研究生学术论坛</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24</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程栋</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25</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何冬梅</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新闻学院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第四届“新媒体与全球信息社会的公正传播”学术研究营</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26</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李梦丽</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经济与工商管理学</w:t>
            </w:r>
            <w:r w:rsidRPr="00DB1D61">
              <w:rPr>
                <w:rFonts w:hint="eastAsia"/>
                <w:sz w:val="18"/>
                <w:szCs w:val="18"/>
              </w:rPr>
              <w:lastRenderedPageBreak/>
              <w:t>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lastRenderedPageBreak/>
              <w:t>“物流与供应链—自贸区供应链管理”</w:t>
            </w:r>
            <w:r w:rsidRPr="00DB1D61">
              <w:rPr>
                <w:rFonts w:hint="eastAsia"/>
                <w:sz w:val="18"/>
                <w:szCs w:val="18"/>
              </w:rPr>
              <w:t>2015</w:t>
            </w:r>
            <w:r w:rsidRPr="00DB1D61">
              <w:rPr>
                <w:rFonts w:hint="eastAsia"/>
                <w:sz w:val="18"/>
                <w:szCs w:val="18"/>
              </w:rPr>
              <w:t>年上海</w:t>
            </w:r>
            <w:r w:rsidRPr="00DB1D61">
              <w:rPr>
                <w:rFonts w:hint="eastAsia"/>
                <w:sz w:val="18"/>
                <w:szCs w:val="18"/>
              </w:rPr>
              <w:lastRenderedPageBreak/>
              <w:t>市研究生暑期学校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lastRenderedPageBreak/>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lastRenderedPageBreak/>
              <w:t>27</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刘墨林</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经济与工商管理学院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“物流与供应链—自贸区供应链管理”</w:t>
            </w:r>
            <w:r w:rsidRPr="00DB1D61">
              <w:rPr>
                <w:rFonts w:hint="eastAsia"/>
                <w:sz w:val="18"/>
                <w:szCs w:val="18"/>
              </w:rPr>
              <w:t>2015</w:t>
            </w:r>
            <w:r w:rsidRPr="00DB1D61">
              <w:rPr>
                <w:rFonts w:hint="eastAsia"/>
                <w:sz w:val="18"/>
                <w:szCs w:val="18"/>
              </w:rPr>
              <w:t>年上海市研究生暑期学校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28</w:t>
            </w:r>
          </w:p>
        </w:tc>
        <w:tc>
          <w:tcPr>
            <w:tcW w:w="804"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彭凌</w:t>
            </w:r>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经济与工商管理学院</w:t>
            </w:r>
          </w:p>
        </w:tc>
        <w:tc>
          <w:tcPr>
            <w:tcW w:w="4366" w:type="dxa"/>
            <w:shd w:val="clear" w:color="auto" w:fill="auto"/>
            <w:vAlign w:val="center"/>
          </w:tcPr>
          <w:p w:rsidR="0005417C" w:rsidRPr="00DB1D61" w:rsidRDefault="0005417C" w:rsidP="00134395">
            <w:pPr>
              <w:tabs>
                <w:tab w:val="left" w:pos="780"/>
              </w:tabs>
              <w:jc w:val="center"/>
              <w:rPr>
                <w:sz w:val="18"/>
                <w:szCs w:val="18"/>
              </w:rPr>
            </w:pPr>
            <w:r w:rsidRPr="00DB1D61">
              <w:rPr>
                <w:rFonts w:hint="eastAsia"/>
                <w:sz w:val="18"/>
                <w:szCs w:val="18"/>
              </w:rPr>
              <w:t>2015</w:t>
            </w:r>
            <w:r w:rsidRPr="00DB1D61">
              <w:rPr>
                <w:rFonts w:hint="eastAsia"/>
                <w:sz w:val="18"/>
                <w:szCs w:val="18"/>
              </w:rPr>
              <w:t>年中科院数学所暑期学校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年北京大学应用数学暑期学校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29</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庞滔</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王娜</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机械工程学院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31</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邢淑霞</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机械工程学院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32</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韩</w:t>
            </w:r>
            <w:r w:rsidRPr="00DB1D61">
              <w:rPr>
                <w:rFonts w:hint="eastAsia"/>
                <w:sz w:val="18"/>
                <w:szCs w:val="18"/>
              </w:rPr>
              <w:t xml:space="preserve"> </w:t>
            </w:r>
            <w:r w:rsidRPr="00DB1D61">
              <w:rPr>
                <w:rFonts w:hint="eastAsia"/>
                <w:sz w:val="18"/>
                <w:szCs w:val="18"/>
              </w:rPr>
              <w:t>毅</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33</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刘惠篮</w:t>
            </w:r>
            <w:proofErr w:type="gramEnd"/>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数学与统计学院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2013</w:t>
            </w:r>
            <w:r w:rsidRPr="00DB1D61">
              <w:rPr>
                <w:rFonts w:hint="eastAsia"/>
                <w:sz w:val="18"/>
                <w:szCs w:val="18"/>
              </w:rPr>
              <w:t>年“统计学”研究生暑期学校</w:t>
            </w:r>
            <w:r w:rsidRPr="00DB1D61">
              <w:rPr>
                <w:rFonts w:hint="eastAsia"/>
                <w:sz w:val="18"/>
                <w:szCs w:val="18"/>
              </w:rPr>
              <w:t>-</w:t>
            </w:r>
            <w:r w:rsidRPr="00DB1D61">
              <w:rPr>
                <w:rFonts w:hint="eastAsia"/>
                <w:sz w:val="18"/>
                <w:szCs w:val="18"/>
              </w:rPr>
              <w:t>现代统计学基础和发展（Ⅱ）</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34</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周利</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年数量经济学全国研究生暑期学校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35</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刑志辉</w:t>
            </w:r>
            <w:proofErr w:type="gramEnd"/>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材料学院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年厦门大学航空航天前沿技术暑期学校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3</w:t>
            </w:r>
            <w:r w:rsidRPr="00DB1D61">
              <w:rPr>
                <w:sz w:val="18"/>
                <w:szCs w:val="18"/>
              </w:rPr>
              <w:t>6</w:t>
            </w:r>
          </w:p>
        </w:tc>
        <w:tc>
          <w:tcPr>
            <w:tcW w:w="804" w:type="dxa"/>
            <w:vMerge w:val="restart"/>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霍凤</w:t>
            </w:r>
            <w:proofErr w:type="gramEnd"/>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新闻学院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第四届“新媒体与全球信息社会的公正传播”学术研究营</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“中国传媒大讲堂”</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第四届“新媒体与社会发展”全国研究生学术论坛</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37</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姜国昌</w:t>
            </w:r>
          </w:p>
        </w:tc>
        <w:tc>
          <w:tcPr>
            <w:tcW w:w="1692" w:type="dxa"/>
            <w:shd w:val="clear" w:color="auto" w:fill="auto"/>
            <w:vAlign w:val="center"/>
          </w:tcPr>
          <w:p w:rsidR="0005417C" w:rsidRPr="00DB1D61" w:rsidRDefault="0005417C" w:rsidP="00134395">
            <w:pPr>
              <w:ind w:firstLineChars="200" w:firstLine="360"/>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tabs>
                <w:tab w:val="left" w:pos="690"/>
              </w:tabs>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38</w:t>
            </w:r>
          </w:p>
        </w:tc>
        <w:tc>
          <w:tcPr>
            <w:tcW w:w="804"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李文博</w:t>
            </w:r>
          </w:p>
        </w:tc>
        <w:tc>
          <w:tcPr>
            <w:tcW w:w="1692" w:type="dxa"/>
            <w:shd w:val="clear" w:color="auto" w:fill="auto"/>
            <w:vAlign w:val="center"/>
          </w:tcPr>
          <w:p w:rsidR="0005417C" w:rsidRPr="00DB1D61" w:rsidRDefault="0005417C" w:rsidP="00134395">
            <w:pPr>
              <w:ind w:firstLineChars="200" w:firstLine="360"/>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39</w:t>
            </w:r>
          </w:p>
        </w:tc>
        <w:tc>
          <w:tcPr>
            <w:tcW w:w="804" w:type="dxa"/>
            <w:shd w:val="clear" w:color="auto" w:fill="auto"/>
            <w:vAlign w:val="center"/>
          </w:tcPr>
          <w:p w:rsidR="0005417C" w:rsidRPr="00DB1D61" w:rsidRDefault="0005417C" w:rsidP="00134395">
            <w:pPr>
              <w:tabs>
                <w:tab w:val="left" w:pos="180"/>
              </w:tabs>
              <w:jc w:val="center"/>
              <w:rPr>
                <w:sz w:val="18"/>
                <w:szCs w:val="18"/>
              </w:rPr>
            </w:pPr>
            <w:r w:rsidRPr="00DB1D61">
              <w:rPr>
                <w:rFonts w:hint="eastAsia"/>
                <w:sz w:val="18"/>
                <w:szCs w:val="18"/>
              </w:rPr>
              <w:t>卢键</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年东南大学土木工程院士知名专家系列讲座暨第六届全国研究生暑期学校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王婷婷</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41</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高烨</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现代生物数学暑期学校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42</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钟华</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第十三届非线性偏微分方程暑期讲习班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43</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李丹</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tabs>
                <w:tab w:val="left" w:pos="765"/>
              </w:tabs>
              <w:jc w:val="center"/>
              <w:rPr>
                <w:sz w:val="18"/>
                <w:szCs w:val="18"/>
              </w:rPr>
            </w:pPr>
            <w:r w:rsidRPr="00DB1D61">
              <w:rPr>
                <w:rFonts w:hint="eastAsia"/>
                <w:sz w:val="18"/>
                <w:szCs w:val="18"/>
              </w:rPr>
              <w:t>第十三届非线性偏微分方程暑期讲习班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44</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刘慧敏</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tabs>
                <w:tab w:val="left" w:pos="795"/>
              </w:tabs>
              <w:jc w:val="center"/>
              <w:rPr>
                <w:sz w:val="18"/>
                <w:szCs w:val="18"/>
              </w:rPr>
            </w:pPr>
            <w:r w:rsidRPr="00DB1D61">
              <w:rPr>
                <w:rFonts w:hint="eastAsia"/>
                <w:sz w:val="18"/>
                <w:szCs w:val="18"/>
              </w:rPr>
              <w:t>第十三届非线性偏微分方程暑期讲习班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45</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毛明轩</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自动化学院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计量经济学与统计学暑期学校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46</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陈国鹏</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经济与工商管理学院</w:t>
            </w: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管理科学与工程高水平研究能力提升班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47</w:t>
            </w:r>
          </w:p>
        </w:tc>
        <w:tc>
          <w:tcPr>
            <w:tcW w:w="804" w:type="dxa"/>
            <w:shd w:val="clear" w:color="auto" w:fill="auto"/>
            <w:vAlign w:val="center"/>
          </w:tcPr>
          <w:p w:rsidR="0005417C" w:rsidRPr="00DB1D61" w:rsidRDefault="0005417C" w:rsidP="00134395">
            <w:pPr>
              <w:tabs>
                <w:tab w:val="left" w:pos="585"/>
              </w:tabs>
              <w:jc w:val="center"/>
              <w:rPr>
                <w:sz w:val="18"/>
                <w:szCs w:val="18"/>
              </w:rPr>
            </w:pPr>
            <w:r w:rsidRPr="00DB1D61">
              <w:rPr>
                <w:rFonts w:hint="eastAsia"/>
                <w:sz w:val="18"/>
                <w:szCs w:val="18"/>
              </w:rPr>
              <w:t>段庆贺</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sz w:val="18"/>
                <w:szCs w:val="18"/>
              </w:rPr>
              <w:t>2</w:t>
            </w:r>
            <w:r w:rsidRPr="00DB1D61">
              <w:rPr>
                <w:rFonts w:hint="eastAsia"/>
                <w:sz w:val="18"/>
                <w:szCs w:val="18"/>
              </w:rPr>
              <w:t>015</w:t>
            </w:r>
            <w:r w:rsidRPr="00DB1D61">
              <w:rPr>
                <w:rFonts w:hint="eastAsia"/>
                <w:sz w:val="18"/>
                <w:szCs w:val="18"/>
              </w:rPr>
              <w:t>年土木工程院士知名专家系列讲座—</w:t>
            </w:r>
            <w:r w:rsidRPr="00DB1D61">
              <w:rPr>
                <w:rFonts w:hint="eastAsia"/>
                <w:sz w:val="18"/>
                <w:szCs w:val="18"/>
              </w:rPr>
              <w:t xml:space="preserve"> </w:t>
            </w:r>
            <w:r w:rsidRPr="00DB1D61">
              <w:rPr>
                <w:rFonts w:hint="eastAsia"/>
                <w:sz w:val="18"/>
                <w:szCs w:val="18"/>
              </w:rPr>
              <w:t>暨第六届全国研究生暑期学校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48</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王欣</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2015年土木工程院士知名专家系列</w:t>
            </w:r>
            <w:proofErr w:type="gramStart"/>
            <w:r w:rsidRPr="00DB1D61">
              <w:rPr>
                <w:rFonts w:ascii="宋体" w:hAnsi="宋体" w:cs="宋体" w:hint="eastAsia"/>
                <w:kern w:val="0"/>
                <w:sz w:val="18"/>
                <w:szCs w:val="18"/>
              </w:rPr>
              <w:t>讲座—暨第六届</w:t>
            </w:r>
            <w:proofErr w:type="gramEnd"/>
            <w:r w:rsidRPr="00DB1D61">
              <w:rPr>
                <w:rFonts w:ascii="宋体" w:hAnsi="宋体" w:cs="宋体" w:hint="eastAsia"/>
                <w:kern w:val="0"/>
                <w:sz w:val="18"/>
                <w:szCs w:val="18"/>
              </w:rPr>
              <w:t>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49</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郑赛那</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ascii="宋体" w:hAnsi="宋体" w:cs="宋体" w:hint="eastAsia"/>
                <w:kern w:val="0"/>
                <w:sz w:val="18"/>
                <w:szCs w:val="18"/>
              </w:rPr>
              <w:t>2015年土木工程院士知名专家系列</w:t>
            </w:r>
            <w:proofErr w:type="gramStart"/>
            <w:r w:rsidRPr="00DB1D61">
              <w:rPr>
                <w:rFonts w:ascii="宋体" w:hAnsi="宋体" w:cs="宋体" w:hint="eastAsia"/>
                <w:kern w:val="0"/>
                <w:sz w:val="18"/>
                <w:szCs w:val="18"/>
              </w:rPr>
              <w:t>讲座—暨第六届</w:t>
            </w:r>
            <w:proofErr w:type="gramEnd"/>
            <w:r w:rsidRPr="00DB1D61">
              <w:rPr>
                <w:rFonts w:ascii="宋体" w:hAnsi="宋体" w:cs="宋体" w:hint="eastAsia"/>
                <w:kern w:val="0"/>
                <w:sz w:val="18"/>
                <w:szCs w:val="18"/>
              </w:rPr>
              <w:t>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林志明</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光电工程学院</w:t>
            </w:r>
          </w:p>
        </w:tc>
        <w:tc>
          <w:tcPr>
            <w:tcW w:w="4366" w:type="dxa"/>
            <w:shd w:val="clear" w:color="auto" w:fill="auto"/>
            <w:vAlign w:val="center"/>
          </w:tcPr>
          <w:p w:rsidR="0005417C" w:rsidRPr="00DB1D61" w:rsidRDefault="0005417C" w:rsidP="00134395">
            <w:pPr>
              <w:tabs>
                <w:tab w:val="left" w:pos="990"/>
              </w:tabs>
              <w:jc w:val="center"/>
              <w:rPr>
                <w:sz w:val="18"/>
                <w:szCs w:val="18"/>
              </w:rPr>
            </w:pPr>
            <w:proofErr w:type="gramStart"/>
            <w:r w:rsidRPr="00DB1D61">
              <w:rPr>
                <w:rFonts w:hint="eastAsia"/>
                <w:sz w:val="18"/>
                <w:szCs w:val="18"/>
              </w:rPr>
              <w:t>2015</w:t>
            </w:r>
            <w:r w:rsidRPr="00DB1D61">
              <w:rPr>
                <w:rFonts w:hint="eastAsia"/>
                <w:sz w:val="18"/>
                <w:szCs w:val="18"/>
              </w:rPr>
              <w:t>年微纳前沿</w:t>
            </w:r>
            <w:proofErr w:type="gramEnd"/>
            <w:r w:rsidRPr="00DB1D61">
              <w:rPr>
                <w:rFonts w:hint="eastAsia"/>
                <w:sz w:val="18"/>
                <w:szCs w:val="18"/>
              </w:rPr>
              <w:t>技术暑期学校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51</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杨晶</w:t>
            </w:r>
            <w:proofErr w:type="gramEnd"/>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tabs>
                <w:tab w:val="left" w:pos="1605"/>
              </w:tabs>
              <w:jc w:val="center"/>
              <w:rPr>
                <w:sz w:val="18"/>
                <w:szCs w:val="18"/>
              </w:rPr>
            </w:pPr>
            <w:r w:rsidRPr="00DB1D61">
              <w:rPr>
                <w:rFonts w:hint="eastAsia"/>
                <w:sz w:val="18"/>
                <w:szCs w:val="18"/>
              </w:rPr>
              <w:t>2014</w:t>
            </w:r>
            <w:r w:rsidRPr="00DB1D61">
              <w:rPr>
                <w:rFonts w:hint="eastAsia"/>
                <w:sz w:val="18"/>
                <w:szCs w:val="18"/>
              </w:rPr>
              <w:t>年暑期学校</w:t>
            </w:r>
            <w:r w:rsidRPr="00DB1D61">
              <w:rPr>
                <w:rFonts w:hint="eastAsia"/>
                <w:sz w:val="18"/>
                <w:szCs w:val="18"/>
              </w:rPr>
              <w:t>-</w:t>
            </w:r>
            <w:r w:rsidRPr="00DB1D61">
              <w:rPr>
                <w:rFonts w:hint="eastAsia"/>
                <w:sz w:val="18"/>
                <w:szCs w:val="18"/>
              </w:rPr>
              <w:t>统计学的若干前沿问题</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52</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寇喜鹏</w:t>
            </w:r>
            <w:proofErr w:type="gramEnd"/>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数学与统计学院</w:t>
            </w:r>
          </w:p>
        </w:tc>
        <w:tc>
          <w:tcPr>
            <w:tcW w:w="4366" w:type="dxa"/>
            <w:shd w:val="clear" w:color="auto" w:fill="auto"/>
            <w:vAlign w:val="center"/>
          </w:tcPr>
          <w:p w:rsidR="0005417C" w:rsidRPr="00DB1D61" w:rsidRDefault="0005417C" w:rsidP="00134395">
            <w:pPr>
              <w:tabs>
                <w:tab w:val="left" w:pos="1695"/>
              </w:tabs>
              <w:jc w:val="center"/>
              <w:rPr>
                <w:sz w:val="18"/>
                <w:szCs w:val="18"/>
              </w:rPr>
            </w:pPr>
            <w:r w:rsidRPr="00DB1D61">
              <w:rPr>
                <w:rFonts w:hint="eastAsia"/>
                <w:sz w:val="18"/>
                <w:szCs w:val="18"/>
              </w:rPr>
              <w:t>2015</w:t>
            </w:r>
            <w:r w:rsidRPr="00DB1D61">
              <w:rPr>
                <w:rFonts w:hint="eastAsia"/>
                <w:sz w:val="18"/>
                <w:szCs w:val="18"/>
              </w:rPr>
              <w:t>年全国“大规模优化计算”高级讲习班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53</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涂静雯</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年上海财经大学统计与管理学院现代统计学研</w:t>
            </w:r>
            <w:r w:rsidRPr="00DB1D61">
              <w:rPr>
                <w:rFonts w:hint="eastAsia"/>
                <w:sz w:val="18"/>
                <w:szCs w:val="18"/>
              </w:rPr>
              <w:lastRenderedPageBreak/>
              <w:t>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lastRenderedPageBreak/>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lastRenderedPageBreak/>
              <w:t>54</w:t>
            </w:r>
          </w:p>
        </w:tc>
        <w:tc>
          <w:tcPr>
            <w:tcW w:w="804" w:type="dxa"/>
            <w:vMerge w:val="restart"/>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涂旭东</w:t>
            </w:r>
            <w:proofErr w:type="gramEnd"/>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生物工程学院</w:t>
            </w: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2015</w:t>
            </w:r>
            <w:r w:rsidRPr="00DB1D61">
              <w:rPr>
                <w:rFonts w:hint="eastAsia"/>
                <w:sz w:val="18"/>
                <w:szCs w:val="18"/>
              </w:rPr>
              <w:t>东北师范大学统计学研究生暑期学校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哈尔滨工业大学国际数学暑期学校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55</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官子力</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经济与工商管理</w:t>
            </w:r>
          </w:p>
        </w:tc>
        <w:tc>
          <w:tcPr>
            <w:tcW w:w="4366" w:type="dxa"/>
            <w:shd w:val="clear" w:color="auto" w:fill="auto"/>
            <w:vAlign w:val="center"/>
          </w:tcPr>
          <w:p w:rsidR="0005417C" w:rsidRPr="00DB1D61" w:rsidRDefault="0005417C" w:rsidP="00134395">
            <w:pPr>
              <w:tabs>
                <w:tab w:val="left" w:pos="1170"/>
              </w:tabs>
              <w:jc w:val="center"/>
              <w:rPr>
                <w:sz w:val="18"/>
                <w:szCs w:val="18"/>
              </w:rPr>
            </w:pPr>
            <w:r w:rsidRPr="00DB1D61">
              <w:rPr>
                <w:rFonts w:hint="eastAsia"/>
                <w:sz w:val="18"/>
                <w:szCs w:val="18"/>
              </w:rPr>
              <w:t>管理科学与工程高水平研究能力提升班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56</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赵捷</w:t>
            </w:r>
            <w:proofErr w:type="gramEnd"/>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数学与统计学院</w:t>
            </w: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第十三届非线性偏微分方程暑期讲习班</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57</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彭曦</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公共管理学院</w:t>
            </w:r>
          </w:p>
        </w:tc>
        <w:tc>
          <w:tcPr>
            <w:tcW w:w="4366" w:type="dxa"/>
            <w:shd w:val="clear" w:color="auto" w:fill="auto"/>
            <w:vAlign w:val="center"/>
          </w:tcPr>
          <w:p w:rsidR="0005417C" w:rsidRPr="00DB1D61" w:rsidRDefault="0005417C" w:rsidP="00134395">
            <w:pPr>
              <w:tabs>
                <w:tab w:val="left" w:pos="660"/>
              </w:tabs>
              <w:jc w:val="center"/>
              <w:rPr>
                <w:sz w:val="18"/>
                <w:szCs w:val="18"/>
              </w:rPr>
            </w:pPr>
            <w:r w:rsidRPr="00DB1D61">
              <w:rPr>
                <w:rFonts w:hint="eastAsia"/>
                <w:sz w:val="18"/>
                <w:szCs w:val="18"/>
              </w:rPr>
              <w:t>2015</w:t>
            </w:r>
            <w:r w:rsidRPr="00DB1D61">
              <w:rPr>
                <w:rFonts w:hint="eastAsia"/>
                <w:sz w:val="18"/>
                <w:szCs w:val="18"/>
              </w:rPr>
              <w:t>计量经济学与统计学暑期学校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58</w:t>
            </w:r>
          </w:p>
        </w:tc>
        <w:tc>
          <w:tcPr>
            <w:tcW w:w="804" w:type="dxa"/>
            <w:shd w:val="clear" w:color="auto" w:fill="auto"/>
            <w:vAlign w:val="center"/>
          </w:tcPr>
          <w:p w:rsidR="0005417C" w:rsidRPr="00DB1D61" w:rsidRDefault="0005417C" w:rsidP="00134395">
            <w:pPr>
              <w:tabs>
                <w:tab w:val="left" w:pos="525"/>
              </w:tabs>
              <w:jc w:val="center"/>
              <w:rPr>
                <w:sz w:val="18"/>
                <w:szCs w:val="18"/>
              </w:rPr>
            </w:pPr>
            <w:r w:rsidRPr="00DB1D61">
              <w:rPr>
                <w:rFonts w:hint="eastAsia"/>
                <w:sz w:val="18"/>
                <w:szCs w:val="18"/>
              </w:rPr>
              <w:t>赵宗男</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年土木工程院士知名专家系列讲座暨第六届全国研究生暑期学校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59</w:t>
            </w:r>
          </w:p>
        </w:tc>
        <w:tc>
          <w:tcPr>
            <w:tcW w:w="804" w:type="dxa"/>
            <w:shd w:val="clear" w:color="auto" w:fill="auto"/>
            <w:vAlign w:val="center"/>
          </w:tcPr>
          <w:p w:rsidR="0005417C" w:rsidRPr="00DB1D61" w:rsidRDefault="0005417C" w:rsidP="00134395">
            <w:pPr>
              <w:tabs>
                <w:tab w:val="left" w:pos="105"/>
              </w:tabs>
              <w:jc w:val="center"/>
              <w:rPr>
                <w:sz w:val="18"/>
                <w:szCs w:val="18"/>
              </w:rPr>
            </w:pPr>
            <w:r w:rsidRPr="00DB1D61">
              <w:rPr>
                <w:rFonts w:hint="eastAsia"/>
                <w:sz w:val="18"/>
                <w:szCs w:val="18"/>
              </w:rPr>
              <w:t>陈进道</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年土木工程院士知名专家系列讲座暨第六届全国研究生暑期学校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60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廖海辰</w:t>
            </w:r>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61</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王理</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法学院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上海“司法改革与国家治理法治化”研究生暑期学校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62</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陈佳</w:t>
            </w:r>
            <w:proofErr w:type="gramStart"/>
            <w:r w:rsidRPr="00DB1D61">
              <w:rPr>
                <w:rFonts w:hint="eastAsia"/>
                <w:sz w:val="18"/>
                <w:szCs w:val="18"/>
              </w:rPr>
              <w:t>佳</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建设管理与房地产学院</w:t>
            </w:r>
          </w:p>
        </w:tc>
        <w:tc>
          <w:tcPr>
            <w:tcW w:w="4366"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2015</w:t>
            </w:r>
            <w:r w:rsidRPr="00DB1D61">
              <w:rPr>
                <w:rFonts w:hint="eastAsia"/>
                <w:sz w:val="18"/>
                <w:szCs w:val="18"/>
              </w:rPr>
              <w:t>年土木工程院士知名专家系列讲座暨第六届全国研究生暑期学校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63</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张羽</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6</w:t>
            </w:r>
            <w:r w:rsidRPr="00DB1D61">
              <w:rPr>
                <w:sz w:val="18"/>
                <w:szCs w:val="18"/>
              </w:rPr>
              <w:t>4</w:t>
            </w:r>
          </w:p>
        </w:tc>
        <w:tc>
          <w:tcPr>
            <w:tcW w:w="804"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刘凤</w:t>
            </w:r>
          </w:p>
        </w:tc>
        <w:tc>
          <w:tcPr>
            <w:tcW w:w="1692" w:type="dxa"/>
            <w:vMerge w:val="restart"/>
            <w:shd w:val="clear" w:color="auto" w:fill="auto"/>
            <w:vAlign w:val="center"/>
          </w:tcPr>
          <w:p w:rsidR="0005417C" w:rsidRPr="00DB1D61" w:rsidRDefault="0005417C" w:rsidP="00134395">
            <w:pPr>
              <w:jc w:val="center"/>
              <w:rPr>
                <w:sz w:val="18"/>
                <w:szCs w:val="18"/>
              </w:rPr>
            </w:pPr>
            <w:r w:rsidRPr="00DB1D61">
              <w:rPr>
                <w:rFonts w:hint="eastAsia"/>
                <w:sz w:val="18"/>
                <w:szCs w:val="18"/>
              </w:rPr>
              <w:t>公共管理学院</w:t>
            </w:r>
          </w:p>
        </w:tc>
        <w:tc>
          <w:tcPr>
            <w:tcW w:w="4366" w:type="dxa"/>
            <w:shd w:val="clear" w:color="auto" w:fill="auto"/>
            <w:vAlign w:val="center"/>
          </w:tcPr>
          <w:p w:rsidR="0005417C" w:rsidRPr="00DB1D61" w:rsidRDefault="0005417C" w:rsidP="00134395">
            <w:pPr>
              <w:tabs>
                <w:tab w:val="left" w:pos="600"/>
              </w:tabs>
              <w:jc w:val="center"/>
              <w:rPr>
                <w:sz w:val="18"/>
                <w:szCs w:val="18"/>
              </w:rPr>
            </w:pPr>
            <w:r w:rsidRPr="00DB1D61">
              <w:rPr>
                <w:rFonts w:hint="eastAsia"/>
                <w:sz w:val="18"/>
                <w:szCs w:val="18"/>
              </w:rPr>
              <w:t>人口发展与经济新常态——中国人口学会</w:t>
            </w:r>
            <w:r w:rsidRPr="00DB1D61">
              <w:rPr>
                <w:rFonts w:hint="eastAsia"/>
                <w:sz w:val="18"/>
                <w:szCs w:val="18"/>
              </w:rPr>
              <w:t>2015</w:t>
            </w:r>
            <w:r w:rsidRPr="00DB1D61">
              <w:rPr>
                <w:rFonts w:hint="eastAsia"/>
                <w:sz w:val="18"/>
                <w:szCs w:val="18"/>
              </w:rPr>
              <w:t>年会</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200</w:t>
            </w:r>
          </w:p>
        </w:tc>
      </w:tr>
      <w:tr w:rsidR="0005417C" w:rsidRPr="00DB1D61" w:rsidTr="0005417C">
        <w:trPr>
          <w:jc w:val="center"/>
        </w:trPr>
        <w:tc>
          <w:tcPr>
            <w:tcW w:w="577" w:type="dxa"/>
            <w:vMerge/>
            <w:shd w:val="clear" w:color="auto" w:fill="auto"/>
            <w:vAlign w:val="center"/>
          </w:tcPr>
          <w:p w:rsidR="0005417C" w:rsidRPr="00DB1D61" w:rsidRDefault="0005417C" w:rsidP="00134395">
            <w:pPr>
              <w:jc w:val="center"/>
              <w:rPr>
                <w:sz w:val="18"/>
                <w:szCs w:val="18"/>
              </w:rPr>
            </w:pPr>
          </w:p>
        </w:tc>
        <w:tc>
          <w:tcPr>
            <w:tcW w:w="804" w:type="dxa"/>
            <w:vMerge/>
            <w:shd w:val="clear" w:color="auto" w:fill="auto"/>
            <w:vAlign w:val="center"/>
          </w:tcPr>
          <w:p w:rsidR="0005417C" w:rsidRPr="00DB1D61" w:rsidRDefault="0005417C" w:rsidP="00134395">
            <w:pPr>
              <w:jc w:val="center"/>
              <w:rPr>
                <w:sz w:val="18"/>
                <w:szCs w:val="18"/>
              </w:rPr>
            </w:pPr>
          </w:p>
        </w:tc>
        <w:tc>
          <w:tcPr>
            <w:tcW w:w="1692" w:type="dxa"/>
            <w:vMerge/>
            <w:shd w:val="clear" w:color="auto" w:fill="auto"/>
            <w:vAlign w:val="center"/>
          </w:tcPr>
          <w:p w:rsidR="0005417C" w:rsidRPr="00DB1D61" w:rsidRDefault="0005417C" w:rsidP="00134395">
            <w:pPr>
              <w:jc w:val="center"/>
              <w:rPr>
                <w:sz w:val="18"/>
                <w:szCs w:val="18"/>
              </w:rPr>
            </w:pPr>
          </w:p>
        </w:tc>
        <w:tc>
          <w:tcPr>
            <w:tcW w:w="4366"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“中国社会保障前沿问题”高峰论坛暨第六届上海市研究生学术论坛</w:t>
            </w:r>
          </w:p>
        </w:tc>
        <w:tc>
          <w:tcPr>
            <w:tcW w:w="857"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65</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刘晓珍</w:t>
            </w:r>
          </w:p>
        </w:tc>
        <w:tc>
          <w:tcPr>
            <w:tcW w:w="1692" w:type="dxa"/>
            <w:shd w:val="clear" w:color="auto" w:fill="auto"/>
            <w:vAlign w:val="center"/>
          </w:tcPr>
          <w:p w:rsidR="0005417C" w:rsidRPr="00DB1D61" w:rsidRDefault="0005417C" w:rsidP="00134395">
            <w:pPr>
              <w:jc w:val="center"/>
              <w:rPr>
                <w:rFonts w:ascii="宋体" w:hAnsi="宋体" w:cs="宋体"/>
                <w:kern w:val="0"/>
                <w:sz w:val="18"/>
                <w:szCs w:val="18"/>
              </w:rPr>
            </w:pPr>
            <w:r w:rsidRPr="00DB1D61">
              <w:rPr>
                <w:rFonts w:ascii="宋体" w:hAnsi="宋体" w:cs="宋体" w:hint="eastAsia"/>
                <w:kern w:val="0"/>
                <w:sz w:val="18"/>
                <w:szCs w:val="18"/>
              </w:rPr>
              <w:t>公共管理学院</w:t>
            </w:r>
          </w:p>
        </w:tc>
        <w:tc>
          <w:tcPr>
            <w:tcW w:w="4366" w:type="dxa"/>
            <w:shd w:val="clear" w:color="auto" w:fill="auto"/>
            <w:vAlign w:val="center"/>
          </w:tcPr>
          <w:p w:rsidR="0005417C" w:rsidRPr="00DB1D61" w:rsidRDefault="0005417C" w:rsidP="00134395">
            <w:pPr>
              <w:ind w:firstLineChars="200" w:firstLine="360"/>
              <w:jc w:val="center"/>
              <w:rPr>
                <w:rFonts w:hint="eastAsia"/>
                <w:sz w:val="18"/>
                <w:szCs w:val="18"/>
              </w:rPr>
            </w:pPr>
            <w:r w:rsidRPr="00DB1D61">
              <w:rPr>
                <w:rFonts w:hint="eastAsia"/>
                <w:sz w:val="18"/>
                <w:szCs w:val="18"/>
              </w:rPr>
              <w:t>社会科学研究方法暑期班</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66</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冯帅</w:t>
            </w:r>
          </w:p>
        </w:tc>
        <w:tc>
          <w:tcPr>
            <w:tcW w:w="1692" w:type="dxa"/>
            <w:shd w:val="clear" w:color="auto" w:fill="auto"/>
            <w:vAlign w:val="center"/>
          </w:tcPr>
          <w:p w:rsidR="0005417C" w:rsidRPr="00DB1D61" w:rsidRDefault="0005417C" w:rsidP="00134395">
            <w:pPr>
              <w:widowControl/>
              <w:jc w:val="center"/>
              <w:rPr>
                <w:rFonts w:ascii="宋体" w:hAnsi="宋体" w:cs="宋体"/>
                <w:kern w:val="0"/>
                <w:sz w:val="18"/>
                <w:szCs w:val="18"/>
              </w:rPr>
            </w:pPr>
            <w:r w:rsidRPr="00DB1D61">
              <w:rPr>
                <w:rFonts w:ascii="宋体" w:hAnsi="宋体" w:cs="宋体" w:hint="eastAsia"/>
                <w:kern w:val="0"/>
                <w:sz w:val="18"/>
                <w:szCs w:val="18"/>
              </w:rPr>
              <w:t>法学院</w:t>
            </w:r>
          </w:p>
        </w:tc>
        <w:tc>
          <w:tcPr>
            <w:tcW w:w="4366" w:type="dxa"/>
            <w:shd w:val="clear" w:color="auto" w:fill="auto"/>
            <w:vAlign w:val="center"/>
          </w:tcPr>
          <w:p w:rsidR="0005417C" w:rsidRPr="00DB1D61" w:rsidRDefault="0005417C" w:rsidP="00134395">
            <w:pPr>
              <w:tabs>
                <w:tab w:val="left" w:pos="1590"/>
              </w:tabs>
              <w:ind w:firstLineChars="200" w:firstLine="360"/>
              <w:jc w:val="center"/>
              <w:rPr>
                <w:rFonts w:hint="eastAsia"/>
                <w:sz w:val="18"/>
                <w:szCs w:val="18"/>
              </w:rPr>
            </w:pPr>
            <w:r w:rsidRPr="00DB1D61">
              <w:rPr>
                <w:rFonts w:hint="eastAsia"/>
                <w:sz w:val="18"/>
                <w:szCs w:val="18"/>
              </w:rPr>
              <w:t>2015</w:t>
            </w:r>
            <w:r w:rsidRPr="00DB1D61">
              <w:rPr>
                <w:rFonts w:hint="eastAsia"/>
                <w:sz w:val="18"/>
                <w:szCs w:val="18"/>
              </w:rPr>
              <w:t>年“生态文明与环境司法”全国博士生学术论坛</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67</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陈幸欢</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法学院</w:t>
            </w:r>
          </w:p>
        </w:tc>
        <w:tc>
          <w:tcPr>
            <w:tcW w:w="4366" w:type="dxa"/>
            <w:shd w:val="clear" w:color="auto" w:fill="auto"/>
            <w:vAlign w:val="center"/>
          </w:tcPr>
          <w:p w:rsidR="0005417C" w:rsidRPr="00DB1D61" w:rsidRDefault="0005417C" w:rsidP="00134395">
            <w:pPr>
              <w:jc w:val="center"/>
              <w:rPr>
                <w:rFonts w:ascii="宋体" w:hAnsi="宋体" w:cs="宋体"/>
                <w:kern w:val="0"/>
                <w:sz w:val="18"/>
                <w:szCs w:val="18"/>
              </w:rPr>
            </w:pPr>
            <w:r w:rsidRPr="00DB1D61">
              <w:rPr>
                <w:rFonts w:ascii="宋体" w:hAnsi="宋体" w:cs="宋体" w:hint="eastAsia"/>
                <w:kern w:val="0"/>
                <w:sz w:val="18"/>
                <w:szCs w:val="18"/>
              </w:rPr>
              <w:t>2015年“生态文明与环境司法”全国博士生学术论坛</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68</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谢潇</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汽车工程学院</w:t>
            </w:r>
          </w:p>
        </w:tc>
        <w:tc>
          <w:tcPr>
            <w:tcW w:w="4366" w:type="dxa"/>
            <w:shd w:val="clear" w:color="auto" w:fill="auto"/>
            <w:vAlign w:val="center"/>
          </w:tcPr>
          <w:p w:rsidR="0005417C" w:rsidRPr="00DB1D61" w:rsidRDefault="0005417C" w:rsidP="00134395">
            <w:pPr>
              <w:ind w:firstLineChars="200" w:firstLine="360"/>
              <w:jc w:val="center"/>
              <w:rPr>
                <w:rFonts w:hint="eastAsia"/>
                <w:sz w:val="18"/>
                <w:szCs w:val="18"/>
              </w:rPr>
            </w:pPr>
            <w:r w:rsidRPr="00DB1D61">
              <w:rPr>
                <w:rFonts w:hint="eastAsia"/>
                <w:sz w:val="18"/>
                <w:szCs w:val="18"/>
              </w:rPr>
              <w:t>2015</w:t>
            </w:r>
            <w:r w:rsidRPr="00DB1D61">
              <w:rPr>
                <w:rFonts w:hint="eastAsia"/>
                <w:sz w:val="18"/>
                <w:szCs w:val="18"/>
              </w:rPr>
              <w:t>年清华大学“先进汽车技术”研究生暑期学校</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69</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杨家权</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经济与工商管理</w:t>
            </w:r>
          </w:p>
        </w:tc>
        <w:tc>
          <w:tcPr>
            <w:tcW w:w="4366" w:type="dxa"/>
            <w:shd w:val="clear" w:color="auto" w:fill="auto"/>
            <w:vAlign w:val="center"/>
          </w:tcPr>
          <w:p w:rsidR="0005417C" w:rsidRPr="00DB1D61" w:rsidRDefault="0005417C" w:rsidP="00134395">
            <w:pPr>
              <w:tabs>
                <w:tab w:val="left" w:pos="1455"/>
              </w:tabs>
              <w:ind w:firstLineChars="200" w:firstLine="360"/>
              <w:jc w:val="center"/>
              <w:rPr>
                <w:rFonts w:hint="eastAsia"/>
                <w:sz w:val="18"/>
                <w:szCs w:val="18"/>
              </w:rPr>
            </w:pPr>
            <w:r w:rsidRPr="00DB1D61">
              <w:rPr>
                <w:rFonts w:hint="eastAsia"/>
                <w:sz w:val="18"/>
                <w:szCs w:val="18"/>
              </w:rPr>
              <w:t>第七届全球供应链管理会议</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sz w:val="18"/>
                <w:szCs w:val="18"/>
              </w:rPr>
              <w:t>70</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鄢德奎</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法学院</w:t>
            </w:r>
          </w:p>
        </w:tc>
        <w:tc>
          <w:tcPr>
            <w:tcW w:w="4366" w:type="dxa"/>
            <w:shd w:val="clear" w:color="auto" w:fill="auto"/>
            <w:vAlign w:val="center"/>
          </w:tcPr>
          <w:p w:rsidR="0005417C" w:rsidRPr="00DB1D61" w:rsidRDefault="0005417C" w:rsidP="00134395">
            <w:pPr>
              <w:ind w:firstLineChars="200" w:firstLine="360"/>
              <w:jc w:val="center"/>
              <w:rPr>
                <w:rFonts w:hint="eastAsia"/>
                <w:sz w:val="18"/>
                <w:szCs w:val="18"/>
              </w:rPr>
            </w:pPr>
            <w:r w:rsidRPr="00DB1D61">
              <w:rPr>
                <w:rFonts w:hint="eastAsia"/>
                <w:sz w:val="18"/>
                <w:szCs w:val="18"/>
              </w:rPr>
              <w:t>2015</w:t>
            </w:r>
            <w:r w:rsidRPr="00DB1D61">
              <w:rPr>
                <w:rFonts w:hint="eastAsia"/>
                <w:sz w:val="18"/>
                <w:szCs w:val="18"/>
              </w:rPr>
              <w:t>年“生态文明与环境司法”全国博士生学术论坛</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71</w:t>
            </w:r>
          </w:p>
        </w:tc>
        <w:tc>
          <w:tcPr>
            <w:tcW w:w="804"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张海月</w:t>
            </w:r>
          </w:p>
        </w:tc>
        <w:tc>
          <w:tcPr>
            <w:tcW w:w="1692" w:type="dxa"/>
            <w:shd w:val="clear" w:color="auto" w:fill="auto"/>
            <w:vAlign w:val="center"/>
          </w:tcPr>
          <w:p w:rsidR="0005417C" w:rsidRPr="00DB1D61" w:rsidRDefault="0005417C" w:rsidP="00134395">
            <w:pPr>
              <w:ind w:firstLineChars="200" w:firstLine="360"/>
              <w:jc w:val="center"/>
              <w:rPr>
                <w:sz w:val="18"/>
                <w:szCs w:val="18"/>
              </w:rPr>
            </w:pPr>
            <w:r w:rsidRPr="00DB1D61">
              <w:rPr>
                <w:rFonts w:hint="eastAsia"/>
                <w:sz w:val="18"/>
                <w:szCs w:val="18"/>
              </w:rPr>
              <w:t>经济与工商管理</w:t>
            </w:r>
          </w:p>
        </w:tc>
        <w:tc>
          <w:tcPr>
            <w:tcW w:w="4366" w:type="dxa"/>
            <w:shd w:val="clear" w:color="auto" w:fill="auto"/>
            <w:vAlign w:val="center"/>
          </w:tcPr>
          <w:p w:rsidR="0005417C" w:rsidRPr="00DB1D61" w:rsidRDefault="0005417C" w:rsidP="00134395">
            <w:pPr>
              <w:tabs>
                <w:tab w:val="left" w:pos="975"/>
              </w:tabs>
              <w:ind w:firstLineChars="200" w:firstLine="360"/>
              <w:jc w:val="center"/>
              <w:rPr>
                <w:rFonts w:hint="eastAsia"/>
                <w:sz w:val="18"/>
                <w:szCs w:val="18"/>
              </w:rPr>
            </w:pPr>
            <w:r w:rsidRPr="00DB1D61">
              <w:rPr>
                <w:rFonts w:hint="eastAsia"/>
                <w:sz w:val="18"/>
                <w:szCs w:val="18"/>
              </w:rPr>
              <w:t>管理科学与工程高水平研究能力提升班</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200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72</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呼万哲</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材料学院冶金工程</w:t>
            </w:r>
          </w:p>
        </w:tc>
        <w:tc>
          <w:tcPr>
            <w:tcW w:w="4366" w:type="dxa"/>
            <w:shd w:val="clear" w:color="auto" w:fill="auto"/>
            <w:vAlign w:val="center"/>
          </w:tcPr>
          <w:p w:rsidR="0005417C" w:rsidRPr="00DB1D61" w:rsidRDefault="0005417C" w:rsidP="00134395">
            <w:pPr>
              <w:tabs>
                <w:tab w:val="left" w:pos="1575"/>
              </w:tabs>
              <w:jc w:val="center"/>
              <w:rPr>
                <w:rFonts w:hint="eastAsia"/>
                <w:sz w:val="18"/>
                <w:szCs w:val="18"/>
              </w:rPr>
            </w:pPr>
            <w:r w:rsidRPr="00DB1D61">
              <w:rPr>
                <w:rFonts w:hint="eastAsia"/>
                <w:sz w:val="18"/>
                <w:szCs w:val="18"/>
              </w:rPr>
              <w:t>2015</w:t>
            </w:r>
            <w:r w:rsidRPr="00DB1D61">
              <w:rPr>
                <w:rFonts w:hint="eastAsia"/>
                <w:sz w:val="18"/>
                <w:szCs w:val="18"/>
              </w:rPr>
              <w:t>上海财经大学统计与管理学院“现代统计学”研究生暑期学校</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sz w:val="18"/>
                <w:szCs w:val="18"/>
              </w:rPr>
              <w:t>500</w:t>
            </w:r>
          </w:p>
        </w:tc>
      </w:tr>
      <w:tr w:rsidR="0005417C" w:rsidRPr="00DB1D61" w:rsidTr="0005417C">
        <w:trPr>
          <w:jc w:val="center"/>
        </w:trPr>
        <w:tc>
          <w:tcPr>
            <w:tcW w:w="57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73</w:t>
            </w:r>
          </w:p>
        </w:tc>
        <w:tc>
          <w:tcPr>
            <w:tcW w:w="804" w:type="dxa"/>
            <w:shd w:val="clear" w:color="auto" w:fill="auto"/>
            <w:vAlign w:val="center"/>
          </w:tcPr>
          <w:p w:rsidR="0005417C" w:rsidRPr="00DB1D61" w:rsidRDefault="0005417C" w:rsidP="00134395">
            <w:pPr>
              <w:jc w:val="center"/>
              <w:rPr>
                <w:sz w:val="18"/>
                <w:szCs w:val="18"/>
              </w:rPr>
            </w:pPr>
            <w:proofErr w:type="gramStart"/>
            <w:r w:rsidRPr="00DB1D61">
              <w:rPr>
                <w:rFonts w:hint="eastAsia"/>
                <w:sz w:val="18"/>
                <w:szCs w:val="18"/>
              </w:rPr>
              <w:t>徐兆俊</w:t>
            </w:r>
            <w:proofErr w:type="gramEnd"/>
          </w:p>
        </w:tc>
        <w:tc>
          <w:tcPr>
            <w:tcW w:w="1692" w:type="dxa"/>
            <w:shd w:val="clear" w:color="auto" w:fill="auto"/>
            <w:vAlign w:val="center"/>
          </w:tcPr>
          <w:p w:rsidR="0005417C" w:rsidRPr="00DB1D61" w:rsidRDefault="0005417C" w:rsidP="00134395">
            <w:pPr>
              <w:jc w:val="center"/>
              <w:rPr>
                <w:sz w:val="18"/>
                <w:szCs w:val="18"/>
              </w:rPr>
            </w:pPr>
            <w:r w:rsidRPr="00DB1D61">
              <w:rPr>
                <w:rFonts w:hint="eastAsia"/>
                <w:sz w:val="18"/>
                <w:szCs w:val="18"/>
              </w:rPr>
              <w:t>材料学院冶金工程</w:t>
            </w:r>
          </w:p>
        </w:tc>
        <w:tc>
          <w:tcPr>
            <w:tcW w:w="4366" w:type="dxa"/>
            <w:shd w:val="clear" w:color="auto" w:fill="auto"/>
            <w:vAlign w:val="center"/>
          </w:tcPr>
          <w:p w:rsidR="0005417C" w:rsidRPr="00DB1D61" w:rsidRDefault="0005417C" w:rsidP="00134395">
            <w:pPr>
              <w:ind w:firstLineChars="200" w:firstLine="360"/>
              <w:jc w:val="center"/>
              <w:rPr>
                <w:rFonts w:hint="eastAsia"/>
                <w:sz w:val="18"/>
                <w:szCs w:val="18"/>
              </w:rPr>
            </w:pPr>
            <w:r w:rsidRPr="00DB1D61">
              <w:rPr>
                <w:rFonts w:hint="eastAsia"/>
                <w:sz w:val="18"/>
                <w:szCs w:val="18"/>
              </w:rPr>
              <w:t>2015</w:t>
            </w:r>
            <w:r w:rsidRPr="00DB1D61">
              <w:rPr>
                <w:rFonts w:hint="eastAsia"/>
                <w:sz w:val="18"/>
                <w:szCs w:val="18"/>
              </w:rPr>
              <w:t>上海财经大学统计与管理学院“现代统计学”研究生暑期学校</w:t>
            </w:r>
          </w:p>
        </w:tc>
        <w:tc>
          <w:tcPr>
            <w:tcW w:w="857" w:type="dxa"/>
            <w:shd w:val="clear" w:color="auto" w:fill="auto"/>
            <w:vAlign w:val="center"/>
          </w:tcPr>
          <w:p w:rsidR="0005417C" w:rsidRPr="00DB1D61" w:rsidRDefault="0005417C" w:rsidP="00134395">
            <w:pPr>
              <w:jc w:val="center"/>
              <w:rPr>
                <w:rFonts w:hint="eastAsia"/>
                <w:sz w:val="18"/>
                <w:szCs w:val="18"/>
              </w:rPr>
            </w:pPr>
            <w:r w:rsidRPr="00DB1D61">
              <w:rPr>
                <w:rFonts w:hint="eastAsia"/>
                <w:sz w:val="18"/>
                <w:szCs w:val="18"/>
              </w:rPr>
              <w:t>500</w:t>
            </w:r>
          </w:p>
        </w:tc>
      </w:tr>
    </w:tbl>
    <w:p w:rsidR="00F81F66" w:rsidRDefault="00F81F66"/>
    <w:sectPr w:rsidR="00F81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7C"/>
    <w:rsid w:val="0005417C"/>
    <w:rsid w:val="00F8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E4043-C70A-4A71-8CB2-C8CD5CE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518</Words>
  <Characters>2959</Characters>
  <Application>Microsoft Office Word</Application>
  <DocSecurity>0</DocSecurity>
  <Lines>24</Lines>
  <Paragraphs>6</Paragraphs>
  <ScaleCrop>false</ScaleCrop>
  <Company>innobase</Company>
  <LinksUpToDate>false</LinksUpToDate>
  <CharactersWithSpaces>3471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2015-10-26T08:22:00Z</dcterms:created>
  <dc:creator>Microsoft</dc:creator>
  <lastModifiedBy>Microsoft</lastModifiedBy>
  <dcterms:modified xsi:type="dcterms:W3CDTF">2015-10-26T08:29:00Z</dcterms:modified>
  <revision>1</revision>
</coreProperties>
</file>